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104E" w14:textId="77777777" w:rsidR="00A7774B" w:rsidRDefault="00000000">
      <w:pPr>
        <w:spacing w:before="2000" w:after="200"/>
        <w:jc w:val="center"/>
      </w:pPr>
      <w:r>
        <w:rPr>
          <w:b/>
          <w:bCs/>
          <w:color w:val="11502A"/>
          <w:sz w:val="56"/>
          <w:szCs w:val="56"/>
        </w:rPr>
        <w:t>MANUAL DE USO</w:t>
      </w:r>
    </w:p>
    <w:p w14:paraId="65934F62" w14:textId="77777777" w:rsidR="00A7774B" w:rsidRDefault="00000000">
      <w:pPr>
        <w:spacing w:after="80"/>
        <w:jc w:val="center"/>
      </w:pPr>
      <w:r>
        <w:rPr>
          <w:b/>
          <w:bCs/>
          <w:color w:val="1B6E3C"/>
          <w:sz w:val="36"/>
          <w:szCs w:val="36"/>
        </w:rPr>
        <w:t>Planilha de Cálculo</w:t>
      </w:r>
    </w:p>
    <w:p w14:paraId="5F5954A4" w14:textId="77777777" w:rsidR="00A7774B" w:rsidRDefault="00000000">
      <w:pPr>
        <w:spacing w:after="600"/>
        <w:jc w:val="center"/>
      </w:pPr>
      <w:r>
        <w:rPr>
          <w:color w:val="5F6B63"/>
          <w:sz w:val="24"/>
          <w:szCs w:val="24"/>
        </w:rPr>
        <w:br/>
        <w:t>Instituto Mineiro de Agropecuária — IMA Gerência de Controle da Arrecadação — GCA</w:t>
      </w:r>
    </w:p>
    <w:p w14:paraId="011102F4" w14:textId="77777777" w:rsidR="00A7774B" w:rsidRDefault="00000000">
      <w:pPr>
        <w:jc w:val="center"/>
      </w:pPr>
      <w:r>
        <w:rPr>
          <w:i/>
          <w:iCs/>
          <w:color w:val="5F6B63"/>
        </w:rPr>
        <w:t>Ferramenta web de auxílio ao cálculo de atualização de créditos tributários e não tributários</w:t>
      </w:r>
    </w:p>
    <w:p w14:paraId="04AB0949" w14:textId="77777777" w:rsidR="00A7774B" w:rsidRDefault="00000000">
      <w:r>
        <w:br w:type="page"/>
      </w:r>
    </w:p>
    <w:p w14:paraId="308FE34E" w14:textId="77777777" w:rsidR="00A7774B" w:rsidRDefault="00000000">
      <w:pPr>
        <w:pStyle w:val="Ttulo1"/>
      </w:pPr>
      <w:bookmarkStart w:id="0" w:name="_Toc233299643"/>
      <w:r>
        <w:lastRenderedPageBreak/>
        <w:t>Sumário</w:t>
      </w:r>
      <w:bookmarkEnd w:id="0"/>
    </w:p>
    <w:sdt>
      <w:sdtPr>
        <w:alias w:val="Sumário"/>
        <w:id w:val="-199633304"/>
      </w:sdtPr>
      <w:sdtContent>
        <w:p w14:paraId="1B0FE5A3" w14:textId="77777777" w:rsidR="00E609D8" w:rsidRDefault="00000000">
          <w:pPr>
            <w:pStyle w:val="Sumrio1"/>
            <w:tabs>
              <w:tab w:val="right" w:leader="dot" w:pos="9628"/>
            </w:tabs>
            <w:rPr>
              <w:noProof/>
            </w:rPr>
          </w:pPr>
          <w:r>
            <w:fldChar w:fldCharType="begin"/>
          </w:r>
          <w:r>
            <w:instrText>TOC \h \o "1-2"</w:instrText>
          </w:r>
          <w:r>
            <w:fldChar w:fldCharType="separate"/>
          </w:r>
          <w:hyperlink w:anchor="_Toc233299643" w:history="1">
            <w:r w:rsidR="00E609D8" w:rsidRPr="00441B3C">
              <w:rPr>
                <w:rStyle w:val="Hyperlink"/>
                <w:noProof/>
              </w:rPr>
              <w:t>Sumário</w:t>
            </w:r>
            <w:r w:rsidR="00E609D8">
              <w:rPr>
                <w:noProof/>
              </w:rPr>
              <w:tab/>
            </w:r>
            <w:r w:rsidR="00E609D8">
              <w:rPr>
                <w:noProof/>
              </w:rPr>
              <w:fldChar w:fldCharType="begin"/>
            </w:r>
            <w:r w:rsidR="00E609D8">
              <w:rPr>
                <w:noProof/>
              </w:rPr>
              <w:instrText xml:space="preserve"> PAGEREF _Toc233299643 \h </w:instrText>
            </w:r>
            <w:r w:rsidR="00E609D8">
              <w:rPr>
                <w:noProof/>
              </w:rPr>
            </w:r>
            <w:r w:rsidR="00E609D8">
              <w:rPr>
                <w:noProof/>
              </w:rPr>
              <w:fldChar w:fldCharType="separate"/>
            </w:r>
            <w:r w:rsidR="00E609D8">
              <w:rPr>
                <w:noProof/>
              </w:rPr>
              <w:t>2</w:t>
            </w:r>
            <w:r w:rsidR="00E609D8">
              <w:rPr>
                <w:noProof/>
              </w:rPr>
              <w:fldChar w:fldCharType="end"/>
            </w:r>
          </w:hyperlink>
        </w:p>
        <w:p w14:paraId="4BE95E8A" w14:textId="77777777" w:rsidR="00E609D8" w:rsidRDefault="00E609D8">
          <w:pPr>
            <w:pStyle w:val="Sumrio1"/>
            <w:tabs>
              <w:tab w:val="right" w:leader="dot" w:pos="9628"/>
            </w:tabs>
            <w:rPr>
              <w:noProof/>
            </w:rPr>
          </w:pPr>
          <w:hyperlink w:anchor="_Toc233299644" w:history="1">
            <w:r w:rsidRPr="00441B3C">
              <w:rPr>
                <w:rStyle w:val="Hyperlink"/>
                <w:noProof/>
              </w:rPr>
              <w:t>1. O que é a Planilha de Cálculo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_Toc233299644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52DCBECB" w14:textId="77777777" w:rsidR="00E609D8" w:rsidRDefault="00E609D8">
          <w:pPr>
            <w:pStyle w:val="Sumrio1"/>
            <w:tabs>
              <w:tab w:val="right" w:leader="dot" w:pos="9628"/>
            </w:tabs>
            <w:rPr>
              <w:noProof/>
            </w:rPr>
          </w:pPr>
          <w:hyperlink w:anchor="_Toc233299645" w:history="1">
            <w:r w:rsidRPr="00441B3C">
              <w:rPr>
                <w:rStyle w:val="Hyperlink"/>
                <w:noProof/>
              </w:rPr>
              <w:t>2. Aviso de responsabilidade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_Toc233299645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79904E0E" w14:textId="77777777" w:rsidR="00E609D8" w:rsidRDefault="00E609D8">
          <w:pPr>
            <w:pStyle w:val="Sumrio1"/>
            <w:tabs>
              <w:tab w:val="right" w:leader="dot" w:pos="9628"/>
            </w:tabs>
            <w:rPr>
              <w:noProof/>
            </w:rPr>
          </w:pPr>
          <w:hyperlink w:anchor="_Toc233299646" w:history="1">
            <w:r w:rsidRPr="00441B3C">
              <w:rPr>
                <w:rStyle w:val="Hyperlink"/>
                <w:noProof/>
              </w:rPr>
              <w:t>3. Identificação do emissor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_Toc233299646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300F66E6" w14:textId="77777777" w:rsidR="00E609D8" w:rsidRDefault="00E609D8">
          <w:pPr>
            <w:pStyle w:val="Sumrio2"/>
            <w:tabs>
              <w:tab w:val="right" w:leader="dot" w:pos="9628"/>
            </w:tabs>
            <w:rPr>
              <w:noProof/>
            </w:rPr>
          </w:pPr>
          <w:hyperlink w:anchor="_Toc233299647" w:history="1">
            <w:r w:rsidRPr="00441B3C">
              <w:rPr>
                <w:rStyle w:val="Hyperlink"/>
                <w:noProof/>
              </w:rPr>
              <w:t>3.1 Primeiro acesso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_Toc233299647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59EB4A1D" w14:textId="77777777" w:rsidR="00E609D8" w:rsidRDefault="00E609D8">
          <w:pPr>
            <w:pStyle w:val="Sumrio2"/>
            <w:tabs>
              <w:tab w:val="right" w:leader="dot" w:pos="9628"/>
            </w:tabs>
            <w:rPr>
              <w:noProof/>
            </w:rPr>
          </w:pPr>
          <w:hyperlink w:anchor="_Toc233299648" w:history="1">
            <w:r w:rsidRPr="00441B3C">
              <w:rPr>
                <w:rStyle w:val="Hyperlink"/>
                <w:noProof/>
              </w:rPr>
              <w:t>3.2 Múltiplos emissores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_Toc233299648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32871C18" w14:textId="77777777" w:rsidR="00E609D8" w:rsidRDefault="00E609D8">
          <w:pPr>
            <w:pStyle w:val="Sumrio2"/>
            <w:tabs>
              <w:tab w:val="right" w:leader="dot" w:pos="9628"/>
            </w:tabs>
            <w:rPr>
              <w:noProof/>
            </w:rPr>
          </w:pPr>
          <w:hyperlink w:anchor="_Toc233299649" w:history="1">
            <w:r w:rsidRPr="00441B3C">
              <w:rPr>
                <w:rStyle w:val="Hyperlink"/>
                <w:noProof/>
              </w:rPr>
              <w:t>3.3 Chip do emissor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_Toc233299649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044D8B3B" w14:textId="77777777" w:rsidR="00E609D8" w:rsidRDefault="00E609D8">
          <w:pPr>
            <w:pStyle w:val="Sumrio1"/>
            <w:tabs>
              <w:tab w:val="right" w:leader="dot" w:pos="9628"/>
            </w:tabs>
            <w:rPr>
              <w:noProof/>
            </w:rPr>
          </w:pPr>
          <w:hyperlink w:anchor="_Toc233299650" w:history="1">
            <w:r w:rsidRPr="00441B3C">
              <w:rPr>
                <w:rStyle w:val="Hyperlink"/>
                <w:noProof/>
              </w:rPr>
              <w:t>4. Tela Início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_Toc233299650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2DE306FD" w14:textId="77777777" w:rsidR="00E609D8" w:rsidRDefault="00E609D8">
          <w:pPr>
            <w:pStyle w:val="Sumrio1"/>
            <w:tabs>
              <w:tab w:val="right" w:leader="dot" w:pos="9628"/>
            </w:tabs>
            <w:rPr>
              <w:noProof/>
            </w:rPr>
          </w:pPr>
          <w:hyperlink w:anchor="_Toc233299651" w:history="1">
            <w:r w:rsidRPr="00441B3C">
              <w:rPr>
                <w:rStyle w:val="Hyperlink"/>
                <w:noProof/>
              </w:rPr>
              <w:t>5. Auto de Infração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_Toc233299651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798FE65B" w14:textId="77777777" w:rsidR="00E609D8" w:rsidRDefault="00E609D8">
          <w:pPr>
            <w:pStyle w:val="Sumrio2"/>
            <w:tabs>
              <w:tab w:val="right" w:leader="dot" w:pos="9628"/>
            </w:tabs>
            <w:rPr>
              <w:noProof/>
            </w:rPr>
          </w:pPr>
          <w:hyperlink w:anchor="_Toc233299652" w:history="1">
            <w:r w:rsidRPr="00441B3C">
              <w:rPr>
                <w:rStyle w:val="Hyperlink"/>
                <w:noProof/>
              </w:rPr>
              <w:t>5.1 Campos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_Toc233299652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20853815" w14:textId="77777777" w:rsidR="00E609D8" w:rsidRDefault="00E609D8">
          <w:pPr>
            <w:pStyle w:val="Sumrio2"/>
            <w:tabs>
              <w:tab w:val="right" w:leader="dot" w:pos="9628"/>
            </w:tabs>
            <w:rPr>
              <w:noProof/>
            </w:rPr>
          </w:pPr>
          <w:hyperlink w:anchor="_Toc233299653" w:history="1">
            <w:r w:rsidRPr="00441B3C">
              <w:rPr>
                <w:rStyle w:val="Hyperlink"/>
                <w:noProof/>
              </w:rPr>
              <w:t>5.2 Regras de validação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_Toc233299653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31C53D65" w14:textId="77777777" w:rsidR="00E609D8" w:rsidRDefault="00E609D8">
          <w:pPr>
            <w:pStyle w:val="Sumrio2"/>
            <w:tabs>
              <w:tab w:val="right" w:leader="dot" w:pos="9628"/>
            </w:tabs>
            <w:rPr>
              <w:noProof/>
            </w:rPr>
          </w:pPr>
          <w:hyperlink w:anchor="_Toc233299654" w:history="1">
            <w:r w:rsidRPr="00441B3C">
              <w:rPr>
                <w:rStyle w:val="Hyperlink"/>
                <w:noProof/>
              </w:rPr>
              <w:t>5.3 Resultado e impressão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_Toc233299654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76D11545" w14:textId="77777777" w:rsidR="00E609D8" w:rsidRDefault="00E609D8">
          <w:pPr>
            <w:pStyle w:val="Sumrio1"/>
            <w:tabs>
              <w:tab w:val="right" w:leader="dot" w:pos="9628"/>
            </w:tabs>
            <w:rPr>
              <w:noProof/>
            </w:rPr>
          </w:pPr>
          <w:hyperlink w:anchor="_Toc233299655" w:history="1">
            <w:r w:rsidRPr="00441B3C">
              <w:rPr>
                <w:rStyle w:val="Hyperlink"/>
                <w:noProof/>
              </w:rPr>
              <w:t>6. Captação de Leite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_Toc233299655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4E29E024" w14:textId="77777777" w:rsidR="00E609D8" w:rsidRDefault="00E609D8">
          <w:pPr>
            <w:pStyle w:val="Sumrio1"/>
            <w:tabs>
              <w:tab w:val="right" w:leader="dot" w:pos="9628"/>
            </w:tabs>
            <w:rPr>
              <w:noProof/>
            </w:rPr>
          </w:pPr>
          <w:hyperlink w:anchor="_Toc233299656" w:history="1">
            <w:r w:rsidRPr="00441B3C">
              <w:rPr>
                <w:rStyle w:val="Hyperlink"/>
                <w:noProof/>
              </w:rPr>
              <w:t>7. Atualização de DAE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_Toc233299656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3788AA75" w14:textId="77777777" w:rsidR="00E609D8" w:rsidRDefault="00E609D8">
          <w:pPr>
            <w:pStyle w:val="Sumrio1"/>
            <w:tabs>
              <w:tab w:val="right" w:leader="dot" w:pos="9628"/>
            </w:tabs>
            <w:rPr>
              <w:noProof/>
            </w:rPr>
          </w:pPr>
          <w:hyperlink w:anchor="_Toc233299657" w:history="1">
            <w:r w:rsidRPr="00441B3C">
              <w:rPr>
                <w:rStyle w:val="Hyperlink"/>
                <w:noProof/>
              </w:rPr>
              <w:t>8. Dados de Referência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_Toc233299657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11001B21" w14:textId="77777777" w:rsidR="00E609D8" w:rsidRDefault="00E609D8">
          <w:pPr>
            <w:pStyle w:val="Sumrio1"/>
            <w:tabs>
              <w:tab w:val="right" w:leader="dot" w:pos="9628"/>
            </w:tabs>
            <w:rPr>
              <w:noProof/>
            </w:rPr>
          </w:pPr>
          <w:hyperlink w:anchor="_Toc233299658" w:history="1">
            <w:r w:rsidRPr="00441B3C">
              <w:rPr>
                <w:rStyle w:val="Hyperlink"/>
                <w:noProof/>
              </w:rPr>
              <w:t>9. Imprimindo o documento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_Toc233299658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4C1D858C" w14:textId="77777777" w:rsidR="00E609D8" w:rsidRDefault="00E609D8">
          <w:pPr>
            <w:pStyle w:val="Sumrio1"/>
            <w:tabs>
              <w:tab w:val="right" w:leader="dot" w:pos="9628"/>
            </w:tabs>
            <w:rPr>
              <w:noProof/>
            </w:rPr>
          </w:pPr>
          <w:hyperlink w:anchor="_Toc233299659" w:history="1">
            <w:r w:rsidRPr="00441B3C">
              <w:rPr>
                <w:rStyle w:val="Hyperlink"/>
                <w:noProof/>
              </w:rPr>
              <w:t>10. Atualizações do sistema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_Toc233299659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23992D6B" w14:textId="77777777" w:rsidR="00E609D8" w:rsidRDefault="00E609D8">
          <w:pPr>
            <w:pStyle w:val="Sumrio1"/>
            <w:tabs>
              <w:tab w:val="right" w:leader="dot" w:pos="9628"/>
            </w:tabs>
            <w:rPr>
              <w:noProof/>
            </w:rPr>
          </w:pPr>
          <w:hyperlink w:anchor="_Toc233299660" w:history="1">
            <w:r w:rsidRPr="00441B3C">
              <w:rPr>
                <w:rStyle w:val="Hyperlink"/>
                <w:noProof/>
              </w:rPr>
              <w:t>11. Suporte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_Toc233299660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46702861" w14:textId="77777777" w:rsidR="00A7774B" w:rsidRDefault="00000000">
          <w:r>
            <w:fldChar w:fldCharType="end"/>
          </w:r>
        </w:p>
      </w:sdtContent>
    </w:sdt>
    <w:p w14:paraId="57C9E827" w14:textId="77777777" w:rsidR="00A7774B" w:rsidRDefault="00000000">
      <w:r>
        <w:br w:type="page"/>
      </w:r>
    </w:p>
    <w:p w14:paraId="77DC14FA" w14:textId="77777777" w:rsidR="00A7774B" w:rsidRDefault="00000000">
      <w:pPr>
        <w:pStyle w:val="Ttulo1"/>
      </w:pPr>
      <w:bookmarkStart w:id="1" w:name="_Toc233299644"/>
      <w:r>
        <w:lastRenderedPageBreak/>
        <w:t>1. O que é a Planilha de Cálculo</w:t>
      </w:r>
      <w:bookmarkEnd w:id="1"/>
    </w:p>
    <w:p w14:paraId="511DC1D7" w14:textId="77777777" w:rsidR="00A7774B" w:rsidRDefault="00000000">
      <w:pPr>
        <w:spacing w:after="160"/>
      </w:pPr>
      <w:r>
        <w:t>A Planilha de Cálculo é uma ferramenta web para auxiliar servidores do IMA a calcular a atualização monetária de créditos tributários e não tributários, com base na taxa SELIC e na UFEMG (Unidade Fiscal do Estado de Minas Gerais).</w:t>
      </w:r>
    </w:p>
    <w:p w14:paraId="7DA23B3B" w14:textId="77777777" w:rsidR="00A7774B" w:rsidRDefault="00000000">
      <w:pPr>
        <w:spacing w:after="160"/>
      </w:pPr>
      <w:r>
        <w:t>Ela cobre três tipos de cálculo:</w:t>
      </w:r>
    </w:p>
    <w:p w14:paraId="53C73660" w14:textId="77777777" w:rsidR="00A7774B" w:rsidRDefault="00000000">
      <w:pPr>
        <w:pStyle w:val="PargrafodaLista"/>
        <w:numPr>
          <w:ilvl w:val="0"/>
          <w:numId w:val="2"/>
        </w:numPr>
        <w:spacing w:after="80"/>
      </w:pPr>
      <w:r>
        <w:t>Auto de Infração — crédito não tributário, atualizado pela SELIC (sem multa)</w:t>
      </w:r>
    </w:p>
    <w:p w14:paraId="1C7DE91A" w14:textId="77777777" w:rsidR="00A7774B" w:rsidRDefault="00000000">
      <w:pPr>
        <w:pStyle w:val="PargrafodaLista"/>
        <w:numPr>
          <w:ilvl w:val="0"/>
          <w:numId w:val="2"/>
        </w:numPr>
        <w:spacing w:after="80"/>
      </w:pPr>
      <w:r>
        <w:t>Captação de Leite — crédito tributário, com multa por atraso e correção pela SELIC</w:t>
      </w:r>
    </w:p>
    <w:p w14:paraId="25645753" w14:textId="77777777" w:rsidR="00A7774B" w:rsidRDefault="00000000">
      <w:pPr>
        <w:pStyle w:val="PargrafodaLista"/>
        <w:numPr>
          <w:ilvl w:val="0"/>
          <w:numId w:val="2"/>
        </w:numPr>
        <w:spacing w:after="80"/>
      </w:pPr>
      <w:r>
        <w:t>Atualização de DAE — atualização de GTA/PTV vencidos, com multa e correção pela SELIC</w:t>
      </w:r>
    </w:p>
    <w:p w14:paraId="1576CC91" w14:textId="77777777" w:rsidR="00A7774B" w:rsidRDefault="00000000">
      <w:pPr>
        <w:spacing w:after="160"/>
      </w:pPr>
      <w:r>
        <w:t>O sistema também reúne, numa aba própria, os dados de referência usados nos cálculos: SELIC mensal, UFEMG por exercício, parâmetros de multa e feriados nacionais.</w:t>
      </w:r>
    </w:p>
    <w:p w14:paraId="0992A01C" w14:textId="77777777" w:rsidR="00A7774B" w:rsidRDefault="00000000">
      <w:r>
        <w:br w:type="page"/>
      </w:r>
    </w:p>
    <w:p w14:paraId="591505F2" w14:textId="77777777" w:rsidR="00A7774B" w:rsidRDefault="00000000">
      <w:pPr>
        <w:pStyle w:val="Ttulo1"/>
      </w:pPr>
      <w:bookmarkStart w:id="2" w:name="_Toc233299645"/>
      <w:r>
        <w:lastRenderedPageBreak/>
        <w:t>2. Aviso de responsabilidade</w:t>
      </w:r>
      <w:bookmarkEnd w:id="2"/>
    </w:p>
    <w:p w14:paraId="16920276" w14:textId="77777777" w:rsidR="00A7774B" w:rsidRDefault="00000000">
      <w:pPr>
        <w:spacing w:after="160"/>
      </w:pPr>
      <w:r>
        <w:rPr>
          <w:b/>
          <w:bCs/>
        </w:rPr>
        <w:t xml:space="preserve">Importante: </w:t>
      </w:r>
      <w:r>
        <w:t>a Planilha de Cálculo é um auxílio de cálculo. A emissão do documento e a exatidão dos valores informados são de responsabilidade de quem emite. Confira sempre as datas, valores, índices e a UFEMG utilizada antes de gerar e usar o documento.</w:t>
      </w:r>
    </w:p>
    <w:p w14:paraId="7A7531C5" w14:textId="4E58E63C" w:rsidR="00A7774B" w:rsidRDefault="00000000">
      <w:pPr>
        <w:spacing w:after="160"/>
      </w:pPr>
      <w:r>
        <w:t>Esse aviso aparece resumido na tela inicial e, de forma completa, no pop</w:t>
      </w:r>
      <w:r w:rsidR="00E609D8">
        <w:t>-</w:t>
      </w:r>
      <w:r>
        <w:t>up de boas-vindas exibido ao cadastrar um novo emissor.</w:t>
      </w:r>
    </w:p>
    <w:p w14:paraId="7D0348A6" w14:textId="77777777" w:rsidR="00A7774B" w:rsidRDefault="00000000">
      <w:r>
        <w:br w:type="page"/>
      </w:r>
    </w:p>
    <w:p w14:paraId="020712B4" w14:textId="77777777" w:rsidR="00A7774B" w:rsidRDefault="00000000">
      <w:pPr>
        <w:pStyle w:val="Ttulo1"/>
      </w:pPr>
      <w:bookmarkStart w:id="3" w:name="_Toc233299646"/>
      <w:r>
        <w:lastRenderedPageBreak/>
        <w:t>3. Identificação do emissor</w:t>
      </w:r>
      <w:bookmarkEnd w:id="3"/>
    </w:p>
    <w:p w14:paraId="64652362" w14:textId="77777777" w:rsidR="00A7774B" w:rsidRDefault="00000000">
      <w:pPr>
        <w:spacing w:after="160"/>
      </w:pPr>
      <w:r>
        <w:t>Antes de calcular ou imprimir qualquer documento, é preciso identificar quem está emitindo. Esses dados ficam salvos somente no navegador utilizado (não são enviados a nenhum servidor) e aparecem no rodapé da Planilha de Cálculo impressa.</w:t>
      </w:r>
    </w:p>
    <w:p w14:paraId="170B55F3" w14:textId="77777777" w:rsidR="00A7774B" w:rsidRDefault="00000000">
      <w:pPr>
        <w:pStyle w:val="Ttulo2"/>
      </w:pPr>
      <w:bookmarkStart w:id="4" w:name="_Toc233299647"/>
      <w:r>
        <w:t>3.1 Primeiro acesso</w:t>
      </w:r>
      <w:bookmarkEnd w:id="4"/>
    </w:p>
    <w:p w14:paraId="28ED129C" w14:textId="77777777" w:rsidR="00A7774B" w:rsidRDefault="00000000">
      <w:pPr>
        <w:spacing w:after="160"/>
      </w:pPr>
      <w:r>
        <w:t>Na primeira vez que a página é aberta, o modal de identificação abre automaticamente. Preencha: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600"/>
      </w:tblGrid>
      <w:tr w:rsidR="00A7774B" w14:paraId="38E7031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shd w:val="clear" w:color="auto" w:fill="E8F3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FC184" w14:textId="77777777" w:rsidR="00A7774B" w:rsidRDefault="00000000">
            <w:r>
              <w:rPr>
                <w:b/>
                <w:bCs/>
              </w:rPr>
              <w:t>Campo</w:t>
            </w:r>
          </w:p>
        </w:tc>
        <w:tc>
          <w:tcPr>
            <w:tcW w:w="6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shd w:val="clear" w:color="auto" w:fill="E8F3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DFAC6F" w14:textId="77777777" w:rsidR="00A7774B" w:rsidRDefault="00000000">
            <w:r>
              <w:rPr>
                <w:b/>
                <w:bCs/>
              </w:rPr>
              <w:t>Observação</w:t>
            </w:r>
          </w:p>
        </w:tc>
      </w:tr>
      <w:tr w:rsidR="00A7774B" w14:paraId="36FB0BEA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EE220" w14:textId="77777777" w:rsidR="00A7774B" w:rsidRDefault="00000000">
            <w:r>
              <w:t>MASP ou CPF</w:t>
            </w:r>
          </w:p>
        </w:tc>
        <w:tc>
          <w:tcPr>
            <w:tcW w:w="6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E5ABC2" w14:textId="77777777" w:rsidR="00A7774B" w:rsidRDefault="00000000">
            <w:r>
              <w:t>Obrigatório. O sistema identifica automaticamente se é MASP (até 8 dígitos) ou CPF (11 dígitos, validado).</w:t>
            </w:r>
          </w:p>
        </w:tc>
      </w:tr>
      <w:tr w:rsidR="00A7774B" w14:paraId="44113DC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4F310" w14:textId="77777777" w:rsidR="00A7774B" w:rsidRDefault="00000000">
            <w:r>
              <w:t>Nome completo</w:t>
            </w:r>
          </w:p>
        </w:tc>
        <w:tc>
          <w:tcPr>
            <w:tcW w:w="6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ED8B99" w14:textId="77777777" w:rsidR="00A7774B" w:rsidRDefault="00000000">
            <w:r>
              <w:t>Obrigatório. É normalizado automaticamente (inicial maiúscula; preposições como “de”, “da”, “do” ficam minúsculas).</w:t>
            </w:r>
          </w:p>
        </w:tc>
      </w:tr>
      <w:tr w:rsidR="00A7774B" w14:paraId="4943F46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CDDC7" w14:textId="77777777" w:rsidR="00A7774B" w:rsidRDefault="00000000">
            <w:r>
              <w:t>Município (MG)</w:t>
            </w:r>
          </w:p>
        </w:tc>
        <w:tc>
          <w:tcPr>
            <w:tcW w:w="6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55023F" w14:textId="77777777" w:rsidR="00A7774B" w:rsidRDefault="00000000">
            <w:r>
              <w:t>Obrigatório. Buscado na lista oficial de municípios de Minas Gerais.</w:t>
            </w:r>
          </w:p>
        </w:tc>
      </w:tr>
      <w:tr w:rsidR="00A7774B" w14:paraId="3684570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03816F" w14:textId="77777777" w:rsidR="00A7774B" w:rsidRDefault="00000000">
            <w:r>
              <w:t>Unidade Administrativa</w:t>
            </w:r>
          </w:p>
        </w:tc>
        <w:tc>
          <w:tcPr>
            <w:tcW w:w="6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968BF" w14:textId="77777777" w:rsidR="00A7774B" w:rsidRDefault="00000000">
            <w:r>
              <w:t>Obrigatório. Liberada após escolher o município — mostra o ESEC e a CR daquele município (e, se o município for Belo Horizonte, também as Gerências da Sede).</w:t>
            </w:r>
          </w:p>
        </w:tc>
      </w:tr>
    </w:tbl>
    <w:p w14:paraId="0E0B9A1D" w14:textId="77777777" w:rsidR="00A7774B" w:rsidRDefault="00000000">
      <w:pPr>
        <w:pStyle w:val="Ttulo2"/>
      </w:pPr>
      <w:bookmarkStart w:id="5" w:name="_Toc233299648"/>
      <w:r>
        <w:t>3.2 Múltiplos emissores</w:t>
      </w:r>
      <w:bookmarkEnd w:id="5"/>
    </w:p>
    <w:p w14:paraId="6E23F398" w14:textId="77777777" w:rsidR="00A7774B" w:rsidRDefault="00000000">
      <w:pPr>
        <w:spacing w:after="160"/>
      </w:pPr>
      <w:r>
        <w:t>O sistema permite salvar mais de um emissor no mesmo navegador (por exemplo, um computador compartilhado). Ao abrir o modal, um campo “Emissor salvo” lista os já cadastrados, com a opção “+ Novo emissor” para cadastrar outro. Basta selecionar o nome desejado para que os campos sejam preenchidos automaticamente.</w:t>
      </w:r>
    </w:p>
    <w:p w14:paraId="7444FCBC" w14:textId="77777777" w:rsidR="00A7774B" w:rsidRDefault="00000000">
      <w:pPr>
        <w:pStyle w:val="Ttulo2"/>
      </w:pPr>
      <w:bookmarkStart w:id="6" w:name="_Toc233299649"/>
      <w:r>
        <w:t>3.3 Chip do emissor</w:t>
      </w:r>
      <w:bookmarkEnd w:id="6"/>
    </w:p>
    <w:p w14:paraId="15A0B581" w14:textId="77777777" w:rsidR="00A7774B" w:rsidRDefault="00000000">
      <w:pPr>
        <w:spacing w:after="160"/>
      </w:pPr>
      <w:r>
        <w:t>No canto superior direito do cabeçalho, um pequeno indicador mostra o nome (abreviado se for muito longo), o município e a unidade administrativa do emissor ativo. Clique nele para reabrir o modal e editar ou trocar de emissor.</w:t>
      </w:r>
    </w:p>
    <w:p w14:paraId="515FDD6B" w14:textId="77777777" w:rsidR="00A7774B" w:rsidRDefault="00000000">
      <w:r>
        <w:br w:type="page"/>
      </w:r>
    </w:p>
    <w:p w14:paraId="65BE3D9E" w14:textId="77777777" w:rsidR="00A7774B" w:rsidRDefault="00000000">
      <w:pPr>
        <w:pStyle w:val="Ttulo1"/>
      </w:pPr>
      <w:bookmarkStart w:id="7" w:name="_Toc233299650"/>
      <w:r>
        <w:lastRenderedPageBreak/>
        <w:t>4. Tela Início</w:t>
      </w:r>
      <w:bookmarkEnd w:id="7"/>
    </w:p>
    <w:p w14:paraId="4E4EB7E1" w14:textId="77777777" w:rsidR="00A7774B" w:rsidRDefault="00000000">
      <w:pPr>
        <w:spacing w:after="160"/>
      </w:pPr>
      <w:r>
        <w:t>É a tela inicial do sistema. Mostra a saudação ao emissor identificado, o aviso de responsabilidade (minimizado, clique para expandir) e o quadro “ATENÇÃO”, com o resumo da Instrução de Trabalho DPGF/GCA Nº 001/2025 e um link para consultá-la na íntegra.</w:t>
      </w:r>
    </w:p>
    <w:p w14:paraId="3CF118A4" w14:textId="77777777" w:rsidR="00A7774B" w:rsidRDefault="00000000">
      <w:r>
        <w:br w:type="page"/>
      </w:r>
    </w:p>
    <w:p w14:paraId="084B269F" w14:textId="77777777" w:rsidR="00A7774B" w:rsidRDefault="00000000">
      <w:pPr>
        <w:pStyle w:val="Ttulo1"/>
      </w:pPr>
      <w:bookmarkStart w:id="8" w:name="_Toc233299651"/>
      <w:r>
        <w:lastRenderedPageBreak/>
        <w:t>5. Auto de Infração</w:t>
      </w:r>
      <w:bookmarkEnd w:id="8"/>
    </w:p>
    <w:p w14:paraId="46154979" w14:textId="77777777" w:rsidR="00A7774B" w:rsidRDefault="00000000">
      <w:pPr>
        <w:spacing w:after="160"/>
      </w:pPr>
      <w:r>
        <w:t>Calcula a atualização de um crédito não tributário (Auto de Infração) pela taxa SELIC acumulada, sem incidência de multa.</w:t>
      </w:r>
    </w:p>
    <w:p w14:paraId="39B08B23" w14:textId="77777777" w:rsidR="00A7774B" w:rsidRDefault="00000000">
      <w:pPr>
        <w:pStyle w:val="Ttulo2"/>
      </w:pPr>
      <w:bookmarkStart w:id="9" w:name="_Toc233299652"/>
      <w:r>
        <w:t>5.1 Campos</w:t>
      </w:r>
      <w:bookmarkEnd w:id="9"/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600"/>
      </w:tblGrid>
      <w:tr w:rsidR="00A7774B" w14:paraId="5A865B9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shd w:val="clear" w:color="auto" w:fill="E8F3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D691EF" w14:textId="77777777" w:rsidR="00A7774B" w:rsidRDefault="00000000">
            <w:r>
              <w:rPr>
                <w:b/>
                <w:bCs/>
              </w:rPr>
              <w:t>Campo</w:t>
            </w:r>
          </w:p>
        </w:tc>
        <w:tc>
          <w:tcPr>
            <w:tcW w:w="6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shd w:val="clear" w:color="auto" w:fill="E8F3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A95DF4" w14:textId="77777777" w:rsidR="00A7774B" w:rsidRDefault="00000000">
            <w:r>
              <w:rPr>
                <w:b/>
                <w:bCs/>
              </w:rPr>
              <w:t>Observação</w:t>
            </w:r>
          </w:p>
        </w:tc>
      </w:tr>
      <w:tr w:rsidR="00A7774B" w14:paraId="666DC56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3A250" w14:textId="77777777" w:rsidR="00A7774B" w:rsidRDefault="00000000">
            <w:r>
              <w:t>Valor Original</w:t>
            </w:r>
          </w:p>
        </w:tc>
        <w:tc>
          <w:tcPr>
            <w:tcW w:w="6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6D2B2" w14:textId="77777777" w:rsidR="00A7774B" w:rsidRDefault="00000000">
            <w:r>
              <w:t>Valor do débito informado ao autuado.</w:t>
            </w:r>
          </w:p>
        </w:tc>
      </w:tr>
      <w:tr w:rsidR="00A7774B" w14:paraId="1F6BB81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3B49AE" w14:textId="77777777" w:rsidR="00A7774B" w:rsidRDefault="00000000">
            <w:r>
              <w:t>Tipo do Valor</w:t>
            </w:r>
          </w:p>
        </w:tc>
        <w:tc>
          <w:tcPr>
            <w:tcW w:w="6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864758" w14:textId="77777777" w:rsidR="00A7774B" w:rsidRDefault="00000000">
            <w:r>
              <w:t>REAL (R$) ou UFEMG. Se UFEMG, libera o campo “Ano de emissão do A.I.”.</w:t>
            </w:r>
          </w:p>
        </w:tc>
      </w:tr>
      <w:tr w:rsidR="00A7774B" w14:paraId="5CFB1DF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2EC68" w14:textId="77777777" w:rsidR="00A7774B" w:rsidRDefault="00000000">
            <w:r>
              <w:t>Ano de emissão do A.I.</w:t>
            </w:r>
          </w:p>
        </w:tc>
        <w:tc>
          <w:tcPr>
            <w:tcW w:w="6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B40A46" w14:textId="77777777" w:rsidR="00A7774B" w:rsidRDefault="00000000">
            <w:r>
              <w:t>Somente para casos GDA. Se deixado vazio, usa o ano da Data de Notificação.</w:t>
            </w:r>
          </w:p>
        </w:tc>
      </w:tr>
      <w:tr w:rsidR="00A7774B" w14:paraId="783381B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A3560" w14:textId="77777777" w:rsidR="00A7774B" w:rsidRDefault="00000000">
            <w:r>
              <w:t>Data da Notificação</w:t>
            </w:r>
          </w:p>
        </w:tc>
        <w:tc>
          <w:tcPr>
            <w:tcW w:w="6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9E5BC6" w14:textId="6F203551" w:rsidR="00A7774B" w:rsidRDefault="00000000">
            <w:r>
              <w:t xml:space="preserve">Data em que o crédito </w:t>
            </w:r>
            <w:r w:rsidR="00E609D8">
              <w:t>se tornou</w:t>
            </w:r>
            <w:r>
              <w:t xml:space="preserve"> exigível (DEC 46668/14).</w:t>
            </w:r>
          </w:p>
        </w:tc>
      </w:tr>
      <w:tr w:rsidR="00A7774B" w14:paraId="1010780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4FC16" w14:textId="77777777" w:rsidR="00A7774B" w:rsidRDefault="00000000">
            <w:r>
              <w:t>Data de Atualização</w:t>
            </w:r>
          </w:p>
        </w:tc>
        <w:tc>
          <w:tcPr>
            <w:tcW w:w="6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47BC52" w14:textId="77777777" w:rsidR="00A7774B" w:rsidRDefault="00000000">
            <w:r>
              <w:t>Até quando o valor será atualizado. Vem preenchida com a data de hoje por padrão.</w:t>
            </w:r>
          </w:p>
        </w:tc>
      </w:tr>
    </w:tbl>
    <w:p w14:paraId="62D936AC" w14:textId="77777777" w:rsidR="00A7774B" w:rsidRDefault="00000000">
      <w:pPr>
        <w:pStyle w:val="Ttulo2"/>
      </w:pPr>
      <w:bookmarkStart w:id="10" w:name="_Toc233299653"/>
      <w:r>
        <w:t>5.2 Regras de validação</w:t>
      </w:r>
      <w:bookmarkEnd w:id="10"/>
    </w:p>
    <w:p w14:paraId="4213630A" w14:textId="77777777" w:rsidR="00A7774B" w:rsidRDefault="00000000">
      <w:pPr>
        <w:spacing w:after="160"/>
      </w:pPr>
      <w:r>
        <w:t>As datas são validadas em tempo real, assim que o campo é preenchido — não é necessário clicar em “Calcular” para ver o erro:</w:t>
      </w:r>
    </w:p>
    <w:p w14:paraId="7CCB4873" w14:textId="77777777" w:rsidR="00A7774B" w:rsidRDefault="00000000">
      <w:pPr>
        <w:pStyle w:val="PargrafodaLista"/>
        <w:numPr>
          <w:ilvl w:val="0"/>
          <w:numId w:val="2"/>
        </w:numPr>
        <w:spacing w:after="80"/>
      </w:pPr>
      <w:r>
        <w:t>Nenhuma data pode ser anterior a 2010 ou posterior à data de hoje.</w:t>
      </w:r>
    </w:p>
    <w:p w14:paraId="1DA77178" w14:textId="77777777" w:rsidR="00A7774B" w:rsidRDefault="00000000">
      <w:pPr>
        <w:pStyle w:val="PargrafodaLista"/>
        <w:numPr>
          <w:ilvl w:val="0"/>
          <w:numId w:val="2"/>
        </w:numPr>
        <w:spacing w:after="80"/>
      </w:pPr>
      <w:r>
        <w:t>Se o Ano de Emissão estiver preenchido, nenhuma data pode ser de ano anterior a ele (datas do mesmo ano são aceitas, com um aviso de confirmação).</w:t>
      </w:r>
    </w:p>
    <w:p w14:paraId="3BB8CEA7" w14:textId="77777777" w:rsidR="00A7774B" w:rsidRDefault="00000000">
      <w:pPr>
        <w:pStyle w:val="PargrafodaLista"/>
        <w:numPr>
          <w:ilvl w:val="0"/>
          <w:numId w:val="2"/>
        </w:numPr>
        <w:spacing w:after="80"/>
      </w:pPr>
      <w:r>
        <w:t>A Data de Atualização não pode ser anterior à Data de Notificação.</w:t>
      </w:r>
    </w:p>
    <w:p w14:paraId="3BDCB023" w14:textId="77777777" w:rsidR="00A7774B" w:rsidRDefault="00000000">
      <w:pPr>
        <w:pStyle w:val="PargrafodaLista"/>
        <w:numPr>
          <w:ilvl w:val="0"/>
          <w:numId w:val="2"/>
        </w:numPr>
        <w:spacing w:after="80"/>
      </w:pPr>
      <w:r>
        <w:t>Ao alterar o Ano de Emissão, as datas já preenchidas são limpas (pois podem ter ficado inválidas) e é necessário redigitá-las.</w:t>
      </w:r>
    </w:p>
    <w:p w14:paraId="1C5E15E5" w14:textId="77777777" w:rsidR="00A7774B" w:rsidRDefault="00000000">
      <w:pPr>
        <w:spacing w:after="160"/>
      </w:pPr>
      <w:r>
        <w:t>Quando alguma regra é violada, o campo é limpo automaticamente e uma mensagem explica o motivo.</w:t>
      </w:r>
    </w:p>
    <w:p w14:paraId="607AAA3C" w14:textId="77777777" w:rsidR="00A7774B" w:rsidRDefault="00000000">
      <w:pPr>
        <w:pStyle w:val="Ttulo2"/>
      </w:pPr>
      <w:bookmarkStart w:id="11" w:name="_Toc233299654"/>
      <w:r>
        <w:t>5.3 Resultado e impressão</w:t>
      </w:r>
      <w:bookmarkEnd w:id="11"/>
    </w:p>
    <w:p w14:paraId="5CE1BAE7" w14:textId="77777777" w:rsidR="00A7774B" w:rsidRDefault="00000000">
      <w:pPr>
        <w:spacing w:after="160"/>
      </w:pPr>
      <w:r>
        <w:t>Após calcular, o resultado aparece numa tabela, com botões para imprimir (gera a Planilha de Cálculo) ou apagar aquela linha. É possível calcular várias situações em sequência antes de imprimir.</w:t>
      </w:r>
    </w:p>
    <w:p w14:paraId="5ACC1A77" w14:textId="77777777" w:rsidR="00A7774B" w:rsidRDefault="00000000">
      <w:r>
        <w:br w:type="page"/>
      </w:r>
    </w:p>
    <w:p w14:paraId="63202C4F" w14:textId="77777777" w:rsidR="00A7774B" w:rsidRDefault="00000000">
      <w:pPr>
        <w:pStyle w:val="Ttulo1"/>
      </w:pPr>
      <w:bookmarkStart w:id="12" w:name="_Toc233299655"/>
      <w:r>
        <w:lastRenderedPageBreak/>
        <w:t>6. Captação de Leite</w:t>
      </w:r>
      <w:bookmarkEnd w:id="12"/>
    </w:p>
    <w:p w14:paraId="6450ADCF" w14:textId="77777777" w:rsidR="00A7774B" w:rsidRDefault="00000000">
      <w:pPr>
        <w:spacing w:after="160"/>
      </w:pPr>
      <w:r>
        <w:t>Calcula o crédito tributário sobre litros de leite captados, com multa por atraso e correção pela SELIC.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600"/>
      </w:tblGrid>
      <w:tr w:rsidR="00A7774B" w14:paraId="385BBDB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shd w:val="clear" w:color="auto" w:fill="E8F3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28D99C" w14:textId="77777777" w:rsidR="00A7774B" w:rsidRDefault="00000000">
            <w:r>
              <w:rPr>
                <w:b/>
                <w:bCs/>
              </w:rPr>
              <w:t>Campo</w:t>
            </w:r>
          </w:p>
        </w:tc>
        <w:tc>
          <w:tcPr>
            <w:tcW w:w="6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shd w:val="clear" w:color="auto" w:fill="E8F3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30EF5D" w14:textId="77777777" w:rsidR="00A7774B" w:rsidRDefault="00000000">
            <w:r>
              <w:rPr>
                <w:b/>
                <w:bCs/>
              </w:rPr>
              <w:t>Observação</w:t>
            </w:r>
          </w:p>
        </w:tc>
      </w:tr>
      <w:tr w:rsidR="00A7774B" w14:paraId="4BF6C45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8AFEA3" w14:textId="77777777" w:rsidR="00A7774B" w:rsidRDefault="00000000">
            <w:r>
              <w:t>Mês/Ano da Captação</w:t>
            </w:r>
          </w:p>
        </w:tc>
        <w:tc>
          <w:tcPr>
            <w:tcW w:w="6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577A2D" w14:textId="77777777" w:rsidR="00A7774B" w:rsidRDefault="00000000">
            <w:r>
              <w:t>Deve ser anterior ao mês atual.</w:t>
            </w:r>
          </w:p>
        </w:tc>
      </w:tr>
      <w:tr w:rsidR="00A7774B" w14:paraId="7CFB182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D7666B" w14:textId="77777777" w:rsidR="00A7774B" w:rsidRDefault="00000000">
            <w:r>
              <w:t>Quantidade de Litros</w:t>
            </w:r>
          </w:p>
        </w:tc>
        <w:tc>
          <w:tcPr>
            <w:tcW w:w="6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0F9C6" w14:textId="77777777" w:rsidR="00A7774B" w:rsidRDefault="00000000">
            <w:r>
              <w:t>Litros captados no mês.</w:t>
            </w:r>
          </w:p>
        </w:tc>
      </w:tr>
      <w:tr w:rsidR="00A7774B" w14:paraId="543D98A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D9F68B" w14:textId="77777777" w:rsidR="00A7774B" w:rsidRDefault="00000000">
            <w:r>
              <w:t>Validade do DAE</w:t>
            </w:r>
          </w:p>
        </w:tc>
        <w:tc>
          <w:tcPr>
            <w:tcW w:w="6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407D8" w14:textId="77777777" w:rsidR="00A7774B" w:rsidRDefault="00000000">
            <w:r>
              <w:t>Data até a qual o valor será atualizado.</w:t>
            </w:r>
          </w:p>
        </w:tc>
      </w:tr>
    </w:tbl>
    <w:p w14:paraId="5A16E8F5" w14:textId="77777777" w:rsidR="00A7774B" w:rsidRDefault="00000000">
      <w:pPr>
        <w:spacing w:after="160"/>
      </w:pPr>
      <w:r>
        <w:t>A taxa é de 0,15 UFEMG por mil litros (ou fração), com vencimento no 15º dia do mês seguinte à captação. Em caso de atraso, aplica-se multa de 0,15%/dia (até 30 dias), 9% (31 a 60 dias) ou 12% (acima de 60 dias), além da correção pela SELIC.</w:t>
      </w:r>
    </w:p>
    <w:p w14:paraId="3BF3DD1D" w14:textId="77777777" w:rsidR="00A7774B" w:rsidRDefault="00000000">
      <w:r>
        <w:br w:type="page"/>
      </w:r>
    </w:p>
    <w:p w14:paraId="157680C6" w14:textId="77777777" w:rsidR="00A7774B" w:rsidRDefault="00000000">
      <w:pPr>
        <w:pStyle w:val="Ttulo1"/>
      </w:pPr>
      <w:bookmarkStart w:id="13" w:name="_Toc233299656"/>
      <w:r>
        <w:lastRenderedPageBreak/>
        <w:t>7. Atualização de DAE</w:t>
      </w:r>
      <w:bookmarkEnd w:id="13"/>
    </w:p>
    <w:p w14:paraId="7E36DA3B" w14:textId="77777777" w:rsidR="00A7774B" w:rsidRDefault="00000000">
      <w:pPr>
        <w:spacing w:after="160"/>
      </w:pPr>
      <w:r>
        <w:t>Atualiza o valor de um DAE vencido (GTA/PTV) para uma nova data de validade, aplicando a mesma regra de multa e correção pela SELIC da Captação de Leite.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600"/>
      </w:tblGrid>
      <w:tr w:rsidR="00A7774B" w14:paraId="4AF21A8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shd w:val="clear" w:color="auto" w:fill="E8F3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5F1361" w14:textId="77777777" w:rsidR="00A7774B" w:rsidRDefault="00000000">
            <w:r>
              <w:rPr>
                <w:b/>
                <w:bCs/>
              </w:rPr>
              <w:t>Campo</w:t>
            </w:r>
          </w:p>
        </w:tc>
        <w:tc>
          <w:tcPr>
            <w:tcW w:w="6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shd w:val="clear" w:color="auto" w:fill="E8F3E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73326" w14:textId="77777777" w:rsidR="00A7774B" w:rsidRDefault="00000000">
            <w:r>
              <w:rPr>
                <w:b/>
                <w:bCs/>
              </w:rPr>
              <w:t>Observação</w:t>
            </w:r>
          </w:p>
        </w:tc>
      </w:tr>
      <w:tr w:rsidR="00A7774B" w14:paraId="5FC4661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EFE809" w14:textId="77777777" w:rsidR="00A7774B" w:rsidRDefault="00000000">
            <w:r>
              <w:t>Valor do DAE devido (R$)</w:t>
            </w:r>
          </w:p>
        </w:tc>
        <w:tc>
          <w:tcPr>
            <w:tcW w:w="6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56FF2" w14:textId="77777777" w:rsidR="00A7774B" w:rsidRDefault="00000000">
            <w:r>
              <w:t>Valor original do documento vencido.</w:t>
            </w:r>
          </w:p>
        </w:tc>
      </w:tr>
      <w:tr w:rsidR="00A7774B" w14:paraId="53D8BA9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E4027" w14:textId="77777777" w:rsidR="00A7774B" w:rsidRDefault="00000000">
            <w:r>
              <w:t>Validade do DAE devido</w:t>
            </w:r>
          </w:p>
        </w:tc>
        <w:tc>
          <w:tcPr>
            <w:tcW w:w="6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FD4EF" w14:textId="77777777" w:rsidR="00A7774B" w:rsidRDefault="00000000">
            <w:r>
              <w:t>Deve ser menor ou igual a hoje.</w:t>
            </w:r>
          </w:p>
        </w:tc>
      </w:tr>
      <w:tr w:rsidR="00A7774B" w14:paraId="3C61452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7A8CDE" w14:textId="77777777" w:rsidR="00A7774B" w:rsidRDefault="00000000">
            <w:r>
              <w:t>Validade do novo DAE</w:t>
            </w:r>
          </w:p>
        </w:tc>
        <w:tc>
          <w:tcPr>
            <w:tcW w:w="6600" w:type="dxa"/>
            <w:tcBorders>
              <w:top w:val="single" w:sz="4" w:space="0" w:color="D5DDD8"/>
              <w:left w:val="single" w:sz="4" w:space="0" w:color="D5DDD8"/>
              <w:bottom w:val="single" w:sz="4" w:space="0" w:color="D5DDD8"/>
              <w:right w:val="single" w:sz="4" w:space="0" w:color="D5DDD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7AF6F7" w14:textId="77777777" w:rsidR="00A7774B" w:rsidRDefault="00000000">
            <w:r>
              <w:t>Deve ser maior ou igual a hoje.</w:t>
            </w:r>
          </w:p>
        </w:tc>
      </w:tr>
    </w:tbl>
    <w:p w14:paraId="7AA71127" w14:textId="77777777" w:rsidR="00A7774B" w:rsidRDefault="00000000">
      <w:r>
        <w:br w:type="page"/>
      </w:r>
    </w:p>
    <w:p w14:paraId="764A0E82" w14:textId="77777777" w:rsidR="00A7774B" w:rsidRDefault="00000000">
      <w:pPr>
        <w:pStyle w:val="Ttulo1"/>
      </w:pPr>
      <w:bookmarkStart w:id="14" w:name="_Toc233299657"/>
      <w:r>
        <w:lastRenderedPageBreak/>
        <w:t>8. Dados de Referência</w:t>
      </w:r>
      <w:bookmarkEnd w:id="14"/>
    </w:p>
    <w:p w14:paraId="121B8F7C" w14:textId="77777777" w:rsidR="00A7774B" w:rsidRDefault="00000000">
      <w:pPr>
        <w:spacing w:after="160"/>
      </w:pPr>
      <w:r>
        <w:t>Reúne as informações usadas nos cálculos, sempre buscadas automaticamente ao abrir o sistema (com cópia local de reserva caso não haja internet):</w:t>
      </w:r>
    </w:p>
    <w:p w14:paraId="465C3E12" w14:textId="77777777" w:rsidR="00A7774B" w:rsidRDefault="00000000">
      <w:pPr>
        <w:pStyle w:val="PargrafodaLista"/>
        <w:numPr>
          <w:ilvl w:val="0"/>
          <w:numId w:val="2"/>
        </w:numPr>
        <w:spacing w:after="80"/>
      </w:pPr>
      <w:r>
        <w:t>SELIC dos últimos 13 meses — calculada pela composição da taxa diária do Banco Central, com 6 casas decimais (o mesmo método usado pela SEF-MG para correção de tributos).</w:t>
      </w:r>
    </w:p>
    <w:p w14:paraId="5BC610F4" w14:textId="77777777" w:rsidR="00A7774B" w:rsidRDefault="00000000">
      <w:pPr>
        <w:pStyle w:val="PargrafodaLista"/>
        <w:numPr>
          <w:ilvl w:val="0"/>
          <w:numId w:val="2"/>
        </w:numPr>
        <w:spacing w:after="80"/>
      </w:pPr>
      <w:r>
        <w:t>UFEMG por exercício, desde 2005.</w:t>
      </w:r>
    </w:p>
    <w:p w14:paraId="5885475E" w14:textId="77777777" w:rsidR="00A7774B" w:rsidRDefault="00000000">
      <w:pPr>
        <w:pStyle w:val="PargrafodaLista"/>
        <w:numPr>
          <w:ilvl w:val="0"/>
          <w:numId w:val="2"/>
        </w:numPr>
        <w:spacing w:after="80"/>
      </w:pPr>
      <w:r>
        <w:t>Parâmetros de multa e da taxa de captação de leite.</w:t>
      </w:r>
    </w:p>
    <w:p w14:paraId="0C0FBC1D" w14:textId="77777777" w:rsidR="00A7774B" w:rsidRDefault="00000000">
      <w:pPr>
        <w:pStyle w:val="PargrafodaLista"/>
        <w:numPr>
          <w:ilvl w:val="0"/>
          <w:numId w:val="2"/>
        </w:numPr>
        <w:spacing w:after="80"/>
      </w:pPr>
      <w:r>
        <w:t xml:space="preserve">Próximos feriados nacionais, com nome, buscados via </w:t>
      </w:r>
      <w:proofErr w:type="spellStart"/>
      <w:r>
        <w:t>BrasilAPI</w:t>
      </w:r>
      <w:proofErr w:type="spellEnd"/>
      <w:r>
        <w:t>.</w:t>
      </w:r>
    </w:p>
    <w:p w14:paraId="52B06BA4" w14:textId="77777777" w:rsidR="00A7774B" w:rsidRDefault="00000000">
      <w:pPr>
        <w:spacing w:after="160"/>
      </w:pPr>
      <w:r>
        <w:t>Se a UFEMG do ano vigente ainda não tiver sido cadastrada no sistema, um aviso é exibido informando até qual ano os cálculos estão disponíveis e pedindo para informar a GCA.</w:t>
      </w:r>
    </w:p>
    <w:p w14:paraId="551E5AE1" w14:textId="77777777" w:rsidR="00A7774B" w:rsidRDefault="00000000">
      <w:r>
        <w:br w:type="page"/>
      </w:r>
    </w:p>
    <w:p w14:paraId="08913D96" w14:textId="77777777" w:rsidR="00A7774B" w:rsidRDefault="00000000">
      <w:pPr>
        <w:pStyle w:val="Ttulo1"/>
      </w:pPr>
      <w:bookmarkStart w:id="15" w:name="_Toc233299658"/>
      <w:r>
        <w:lastRenderedPageBreak/>
        <w:t>9. Imprimindo o documento</w:t>
      </w:r>
      <w:bookmarkEnd w:id="15"/>
    </w:p>
    <w:p w14:paraId="46F460C9" w14:textId="77777777" w:rsidR="00A7774B" w:rsidRDefault="00000000">
      <w:pPr>
        <w:spacing w:after="160"/>
      </w:pPr>
      <w:r>
        <w:t>Ao clicar no botão de impressão (🖨) de uma linha de resultado, o sistema monta a Planilha de Cálculo formatada — com o brasão de Minas Gerais, identificação institucional, carimbo, a tabela de cálculo, a data de emissão e a assinatura do emissor — e abre a janela de impressão do navegador.</w:t>
      </w:r>
    </w:p>
    <w:p w14:paraId="2831C8D3" w14:textId="77777777" w:rsidR="00A7774B" w:rsidRDefault="00000000">
      <w:pPr>
        <w:spacing w:after="160"/>
      </w:pPr>
      <w:r>
        <w:t>Deixe espaço suficiente entre a data de emissão e o nome do emissor para a assinatura física, quando o documento for impresso em papel.</w:t>
      </w:r>
    </w:p>
    <w:p w14:paraId="18F21D46" w14:textId="77777777" w:rsidR="00A7774B" w:rsidRDefault="00000000">
      <w:r>
        <w:br w:type="page"/>
      </w:r>
    </w:p>
    <w:p w14:paraId="1B59B902" w14:textId="77777777" w:rsidR="00A7774B" w:rsidRDefault="00000000">
      <w:pPr>
        <w:pStyle w:val="Ttulo1"/>
      </w:pPr>
      <w:bookmarkStart w:id="16" w:name="_Toc233299659"/>
      <w:r>
        <w:lastRenderedPageBreak/>
        <w:t>10. Atualizações do sistema</w:t>
      </w:r>
      <w:bookmarkEnd w:id="16"/>
    </w:p>
    <w:p w14:paraId="5C1B4C81" w14:textId="77777777" w:rsidR="00A7774B" w:rsidRDefault="00000000">
      <w:pPr>
        <w:spacing w:after="160"/>
      </w:pPr>
      <w:r>
        <w:t>A versão atual aparece no rodapé da página. Quando uma nova versão é publicada, um aviso amarelo aparece automaticamente no topo da tela, com um botão “Atualizar agora”.</w:t>
      </w:r>
    </w:p>
    <w:p w14:paraId="1E52D558" w14:textId="77777777" w:rsidR="00A7774B" w:rsidRDefault="00000000">
      <w:r>
        <w:br w:type="page"/>
      </w:r>
    </w:p>
    <w:p w14:paraId="6ACF5AB2" w14:textId="77777777" w:rsidR="00A7774B" w:rsidRDefault="00000000">
      <w:pPr>
        <w:pStyle w:val="Ttulo1"/>
      </w:pPr>
      <w:bookmarkStart w:id="17" w:name="_Toc233299660"/>
      <w:r>
        <w:lastRenderedPageBreak/>
        <w:t>11. Suporte</w:t>
      </w:r>
      <w:bookmarkEnd w:id="17"/>
    </w:p>
    <w:p w14:paraId="2FD754AD" w14:textId="77777777" w:rsidR="00A7774B" w:rsidRDefault="00000000">
      <w:pPr>
        <w:spacing w:after="160"/>
      </w:pPr>
      <w:r>
        <w:t>Em caso de dúvidas, problemas ou sugestões de melhoria, entre em contato com a GCA:</w:t>
      </w:r>
    </w:p>
    <w:p w14:paraId="72D84DFB" w14:textId="77777777" w:rsidR="00A7774B" w:rsidRDefault="00000000">
      <w:pPr>
        <w:spacing w:after="160"/>
      </w:pPr>
      <w:r>
        <w:rPr>
          <w:b/>
          <w:bCs/>
        </w:rPr>
        <w:t xml:space="preserve">E-mail: </w:t>
      </w:r>
      <w:r>
        <w:t>gca@ima.mg.gov.br</w:t>
      </w:r>
    </w:p>
    <w:sectPr w:rsidR="00A7774B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3977" w14:textId="77777777" w:rsidR="00556AB2" w:rsidRDefault="00556AB2">
      <w:r>
        <w:separator/>
      </w:r>
    </w:p>
  </w:endnote>
  <w:endnote w:type="continuationSeparator" w:id="0">
    <w:p w14:paraId="13BCB1C4" w14:textId="77777777" w:rsidR="00556AB2" w:rsidRDefault="0055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C24" w14:textId="77777777" w:rsidR="00A7774B" w:rsidRDefault="00000000">
    <w:pPr>
      <w:jc w:val="center"/>
    </w:pPr>
    <w:r>
      <w:rPr>
        <w:color w:val="5F6B63"/>
        <w:sz w:val="16"/>
        <w:szCs w:val="16"/>
      </w:rPr>
      <w:t xml:space="preserve">Página </w:t>
    </w:r>
    <w:r>
      <w:rPr>
        <w:color w:val="5F6B63"/>
        <w:sz w:val="16"/>
        <w:szCs w:val="16"/>
      </w:rPr>
      <w:fldChar w:fldCharType="begin"/>
    </w:r>
    <w:r>
      <w:rPr>
        <w:color w:val="5F6B63"/>
        <w:sz w:val="16"/>
        <w:szCs w:val="16"/>
      </w:rPr>
      <w:instrText>PAGE</w:instrText>
    </w:r>
    <w:r>
      <w:rPr>
        <w:color w:val="5F6B63"/>
        <w:sz w:val="16"/>
        <w:szCs w:val="16"/>
      </w:rPr>
      <w:fldChar w:fldCharType="separate"/>
    </w:r>
    <w:r w:rsidR="00E609D8">
      <w:rPr>
        <w:noProof/>
        <w:color w:val="5F6B63"/>
        <w:sz w:val="16"/>
        <w:szCs w:val="16"/>
      </w:rPr>
      <w:t>1</w:t>
    </w:r>
    <w:r>
      <w:rPr>
        <w:color w:val="5F6B6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5359" w14:textId="77777777" w:rsidR="00556AB2" w:rsidRDefault="00556AB2">
      <w:r>
        <w:separator/>
      </w:r>
    </w:p>
  </w:footnote>
  <w:footnote w:type="continuationSeparator" w:id="0">
    <w:p w14:paraId="66AA876E" w14:textId="77777777" w:rsidR="00556AB2" w:rsidRDefault="0055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47A0" w14:textId="77777777" w:rsidR="00A7774B" w:rsidRDefault="00000000">
    <w:pPr>
      <w:jc w:val="right"/>
    </w:pPr>
    <w:r>
      <w:rPr>
        <w:color w:val="5F6B63"/>
        <w:sz w:val="16"/>
        <w:szCs w:val="16"/>
      </w:rPr>
      <w:t>Planilha de Cálculo — IMA/GCA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0551D"/>
    <w:multiLevelType w:val="hybridMultilevel"/>
    <w:tmpl w:val="8550C532"/>
    <w:lvl w:ilvl="0" w:tplc="BC5A71C8">
      <w:start w:val="1"/>
      <w:numFmt w:val="bullet"/>
      <w:lvlText w:val="●"/>
      <w:lvlJc w:val="left"/>
      <w:pPr>
        <w:ind w:left="720" w:hanging="360"/>
      </w:pPr>
    </w:lvl>
    <w:lvl w:ilvl="1" w:tplc="8CA8930C">
      <w:start w:val="1"/>
      <w:numFmt w:val="bullet"/>
      <w:lvlText w:val="○"/>
      <w:lvlJc w:val="left"/>
      <w:pPr>
        <w:ind w:left="1440" w:hanging="360"/>
      </w:pPr>
    </w:lvl>
    <w:lvl w:ilvl="2" w:tplc="C31C86A6">
      <w:start w:val="1"/>
      <w:numFmt w:val="bullet"/>
      <w:lvlText w:val="■"/>
      <w:lvlJc w:val="left"/>
      <w:pPr>
        <w:ind w:left="2160" w:hanging="360"/>
      </w:pPr>
    </w:lvl>
    <w:lvl w:ilvl="3" w:tplc="17B6276E">
      <w:start w:val="1"/>
      <w:numFmt w:val="bullet"/>
      <w:lvlText w:val="●"/>
      <w:lvlJc w:val="left"/>
      <w:pPr>
        <w:ind w:left="2880" w:hanging="360"/>
      </w:pPr>
    </w:lvl>
    <w:lvl w:ilvl="4" w:tplc="34EEF1FE">
      <w:start w:val="1"/>
      <w:numFmt w:val="bullet"/>
      <w:lvlText w:val="○"/>
      <w:lvlJc w:val="left"/>
      <w:pPr>
        <w:ind w:left="3600" w:hanging="360"/>
      </w:pPr>
    </w:lvl>
    <w:lvl w:ilvl="5" w:tplc="558653DA">
      <w:start w:val="1"/>
      <w:numFmt w:val="bullet"/>
      <w:lvlText w:val="■"/>
      <w:lvlJc w:val="left"/>
      <w:pPr>
        <w:ind w:left="4320" w:hanging="360"/>
      </w:pPr>
    </w:lvl>
    <w:lvl w:ilvl="6" w:tplc="2D3265B2">
      <w:start w:val="1"/>
      <w:numFmt w:val="bullet"/>
      <w:lvlText w:val="●"/>
      <w:lvlJc w:val="left"/>
      <w:pPr>
        <w:ind w:left="5040" w:hanging="360"/>
      </w:pPr>
    </w:lvl>
    <w:lvl w:ilvl="7" w:tplc="FD10F462">
      <w:start w:val="1"/>
      <w:numFmt w:val="bullet"/>
      <w:lvlText w:val="●"/>
      <w:lvlJc w:val="left"/>
      <w:pPr>
        <w:ind w:left="5760" w:hanging="360"/>
      </w:pPr>
    </w:lvl>
    <w:lvl w:ilvl="8" w:tplc="FDF4FC3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6613997"/>
    <w:multiLevelType w:val="hybridMultilevel"/>
    <w:tmpl w:val="4536B602"/>
    <w:lvl w:ilvl="0" w:tplc="0EFADCF2">
      <w:start w:val="1"/>
      <w:numFmt w:val="bullet"/>
      <w:lvlText w:val="•"/>
      <w:lvlJc w:val="left"/>
      <w:pPr>
        <w:ind w:left="460" w:hanging="260"/>
      </w:pPr>
    </w:lvl>
    <w:lvl w:ilvl="1" w:tplc="E0547EC6">
      <w:numFmt w:val="decimal"/>
      <w:lvlText w:val=""/>
      <w:lvlJc w:val="left"/>
    </w:lvl>
    <w:lvl w:ilvl="2" w:tplc="DE4E187A">
      <w:numFmt w:val="decimal"/>
      <w:lvlText w:val=""/>
      <w:lvlJc w:val="left"/>
    </w:lvl>
    <w:lvl w:ilvl="3" w:tplc="5AB89DEA">
      <w:numFmt w:val="decimal"/>
      <w:lvlText w:val=""/>
      <w:lvlJc w:val="left"/>
    </w:lvl>
    <w:lvl w:ilvl="4" w:tplc="9176EEFE">
      <w:numFmt w:val="decimal"/>
      <w:lvlText w:val=""/>
      <w:lvlJc w:val="left"/>
    </w:lvl>
    <w:lvl w:ilvl="5" w:tplc="21981028">
      <w:numFmt w:val="decimal"/>
      <w:lvlText w:val=""/>
      <w:lvlJc w:val="left"/>
    </w:lvl>
    <w:lvl w:ilvl="6" w:tplc="34B4303A">
      <w:numFmt w:val="decimal"/>
      <w:lvlText w:val=""/>
      <w:lvlJc w:val="left"/>
    </w:lvl>
    <w:lvl w:ilvl="7" w:tplc="80C4729E">
      <w:numFmt w:val="decimal"/>
      <w:lvlText w:val=""/>
      <w:lvlJc w:val="left"/>
    </w:lvl>
    <w:lvl w:ilvl="8" w:tplc="82683690">
      <w:numFmt w:val="decimal"/>
      <w:lvlText w:val=""/>
      <w:lvlJc w:val="left"/>
    </w:lvl>
  </w:abstractNum>
  <w:abstractNum w:abstractNumId="2" w15:restartNumberingAfterBreak="0">
    <w:nsid w:val="7A4B61C5"/>
    <w:multiLevelType w:val="hybridMultilevel"/>
    <w:tmpl w:val="0D8ABC14"/>
    <w:lvl w:ilvl="0" w:tplc="F8E87796">
      <w:start w:val="1"/>
      <w:numFmt w:val="decimal"/>
      <w:lvlText w:val="%1."/>
      <w:lvlJc w:val="left"/>
      <w:pPr>
        <w:ind w:left="460" w:hanging="260"/>
      </w:pPr>
    </w:lvl>
    <w:lvl w:ilvl="1" w:tplc="1C122FCC">
      <w:numFmt w:val="decimal"/>
      <w:lvlText w:val=""/>
      <w:lvlJc w:val="left"/>
    </w:lvl>
    <w:lvl w:ilvl="2" w:tplc="10FC13F2">
      <w:numFmt w:val="decimal"/>
      <w:lvlText w:val=""/>
      <w:lvlJc w:val="left"/>
    </w:lvl>
    <w:lvl w:ilvl="3" w:tplc="6DBAFA56">
      <w:numFmt w:val="decimal"/>
      <w:lvlText w:val=""/>
      <w:lvlJc w:val="left"/>
    </w:lvl>
    <w:lvl w:ilvl="4" w:tplc="6F02236A">
      <w:numFmt w:val="decimal"/>
      <w:lvlText w:val=""/>
      <w:lvlJc w:val="left"/>
    </w:lvl>
    <w:lvl w:ilvl="5" w:tplc="EFBA4AEE">
      <w:numFmt w:val="decimal"/>
      <w:lvlText w:val=""/>
      <w:lvlJc w:val="left"/>
    </w:lvl>
    <w:lvl w:ilvl="6" w:tplc="F91420CA">
      <w:numFmt w:val="decimal"/>
      <w:lvlText w:val=""/>
      <w:lvlJc w:val="left"/>
    </w:lvl>
    <w:lvl w:ilvl="7" w:tplc="3E489EB2">
      <w:numFmt w:val="decimal"/>
      <w:lvlText w:val=""/>
      <w:lvlJc w:val="left"/>
    </w:lvl>
    <w:lvl w:ilvl="8" w:tplc="BA4C66D2">
      <w:numFmt w:val="decimal"/>
      <w:lvlText w:val=""/>
      <w:lvlJc w:val="left"/>
    </w:lvl>
  </w:abstractNum>
  <w:num w:numId="1" w16cid:durableId="1463577260">
    <w:abstractNumId w:val="0"/>
    <w:lvlOverride w:ilvl="0">
      <w:startOverride w:val="1"/>
    </w:lvlOverride>
  </w:num>
  <w:num w:numId="2" w16cid:durableId="124060183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4B"/>
    <w:rsid w:val="00556AB2"/>
    <w:rsid w:val="00A7774B"/>
    <w:rsid w:val="00E609D8"/>
    <w:rsid w:val="00EC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5AA2"/>
  <w15:docId w15:val="{3F943D00-5C8A-400D-8697-C122897C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22222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pBdr>
        <w:bottom w:val="single" w:sz="6" w:space="4" w:color="1B6E3C"/>
      </w:pBdr>
      <w:spacing w:before="360" w:after="200"/>
      <w:outlineLvl w:val="0"/>
    </w:pPr>
    <w:rPr>
      <w:b/>
      <w:bCs/>
      <w:color w:val="11502A"/>
      <w:sz w:val="30"/>
      <w:szCs w:val="30"/>
    </w:rPr>
  </w:style>
  <w:style w:type="paragraph" w:styleId="Ttulo2">
    <w:name w:val="heading 2"/>
    <w:uiPriority w:val="9"/>
    <w:unhideWhenUsed/>
    <w:qFormat/>
    <w:pPr>
      <w:spacing w:before="260" w:after="140"/>
      <w:outlineLvl w:val="1"/>
    </w:pPr>
    <w:rPr>
      <w:b/>
      <w:bCs/>
      <w:color w:val="11502A"/>
      <w:sz w:val="25"/>
      <w:szCs w:val="25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rsid w:val="00E609D8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E609D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1336</Words>
  <Characters>7215</Characters>
  <Application>Microsoft Office Word</Application>
  <DocSecurity>0</DocSecurity>
  <Lines>60</Lines>
  <Paragraphs>17</Paragraphs>
  <ScaleCrop>false</ScaleCrop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Diogo Quintino Rocha</cp:lastModifiedBy>
  <cp:revision>3</cp:revision>
  <dcterms:created xsi:type="dcterms:W3CDTF">2026-06-25T19:53:00Z</dcterms:created>
  <dcterms:modified xsi:type="dcterms:W3CDTF">2026-06-25T20:09:00Z</dcterms:modified>
</cp:coreProperties>
</file>